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B74E5" w:rsidRDefault="0033196E">
      <w:pPr>
        <w:jc w:val="center"/>
        <w:rPr>
          <w:b/>
          <w:sz w:val="28"/>
          <w:szCs w:val="28"/>
          <w:u w:val="single"/>
        </w:rPr>
      </w:pPr>
      <w:r>
        <w:rPr>
          <w:b/>
          <w:sz w:val="28"/>
          <w:szCs w:val="28"/>
          <w:u w:val="single"/>
        </w:rPr>
        <w:t>Craven Local Plan: Residential Site Selection Process</w:t>
      </w:r>
    </w:p>
    <w:p w:rsidR="009B74E5" w:rsidRDefault="0033196E">
      <w:pPr>
        <w:rPr>
          <w:b/>
          <w:sz w:val="24"/>
          <w:szCs w:val="24"/>
        </w:rPr>
      </w:pPr>
      <w:r>
        <w:rPr>
          <w:b/>
          <w:sz w:val="24"/>
          <w:szCs w:val="24"/>
        </w:rPr>
        <w:t xml:space="preserve">Settlement Name: </w:t>
      </w:r>
      <w:r>
        <w:rPr>
          <w:sz w:val="24"/>
          <w:szCs w:val="24"/>
        </w:rPr>
        <w:t>Bentham</w:t>
      </w:r>
    </w:p>
    <w:p w:rsidR="009B74E5" w:rsidRDefault="0033196E">
      <w:pPr>
        <w:rPr>
          <w:sz w:val="24"/>
          <w:szCs w:val="24"/>
        </w:rPr>
      </w:pPr>
      <w:r>
        <w:rPr>
          <w:b/>
          <w:sz w:val="24"/>
          <w:szCs w:val="24"/>
        </w:rPr>
        <w:t xml:space="preserve">Site Number and Address: </w:t>
      </w:r>
      <w:r>
        <w:rPr>
          <w:sz w:val="24"/>
          <w:szCs w:val="24"/>
        </w:rPr>
        <w:t xml:space="preserve">HB052 Land to </w:t>
      </w:r>
      <w:proofErr w:type="gramStart"/>
      <w:r>
        <w:rPr>
          <w:sz w:val="24"/>
          <w:szCs w:val="24"/>
        </w:rPr>
        <w:t>north west</w:t>
      </w:r>
      <w:proofErr w:type="gramEnd"/>
      <w:r>
        <w:rPr>
          <w:sz w:val="24"/>
          <w:szCs w:val="24"/>
        </w:rPr>
        <w:t xml:space="preserve"> of Bank Head Farm and south of </w:t>
      </w:r>
      <w:proofErr w:type="spellStart"/>
      <w:r>
        <w:rPr>
          <w:sz w:val="24"/>
          <w:szCs w:val="24"/>
        </w:rPr>
        <w:t>Ghyllhead</w:t>
      </w:r>
      <w:proofErr w:type="spellEnd"/>
      <w:r>
        <w:rPr>
          <w:sz w:val="24"/>
          <w:szCs w:val="24"/>
        </w:rPr>
        <w:t xml:space="preserve"> Farm, High Bentham 13.129ha</w:t>
      </w:r>
    </w:p>
    <w:p w:rsidR="009B74E5" w:rsidRDefault="0033196E">
      <w:pPr>
        <w:rPr>
          <w:b/>
          <w:sz w:val="24"/>
          <w:szCs w:val="24"/>
          <w:u w:val="single"/>
        </w:rPr>
      </w:pPr>
      <w:r>
        <w:rPr>
          <w:b/>
          <w:sz w:val="24"/>
          <w:szCs w:val="24"/>
          <w:u w:val="single"/>
        </w:rPr>
        <w:t>Stage 1: Settlement Level Analysis (Sustainability Appraisal)</w:t>
      </w:r>
    </w:p>
    <w:p w:rsidR="009B74E5" w:rsidRDefault="0033196E">
      <w:pPr>
        <w:rPr>
          <w:b/>
          <w:sz w:val="24"/>
          <w:szCs w:val="24"/>
          <w:u w:val="single"/>
        </w:rPr>
      </w:pPr>
      <w:r>
        <w:rPr>
          <w:noProof/>
        </w:rPr>
        <w:drawing>
          <wp:inline distT="0" distB="0" distL="0" distR="0">
            <wp:extent cx="8912027" cy="542290"/>
            <wp:effectExtent l="0" t="0" r="0" b="0"/>
            <wp:docPr id="1"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8"/>
                    <a:srcRect/>
                    <a:stretch>
                      <a:fillRect/>
                    </a:stretch>
                  </pic:blipFill>
                  <pic:spPr>
                    <a:xfrm>
                      <a:off x="0" y="0"/>
                      <a:ext cx="8912027" cy="542290"/>
                    </a:xfrm>
                    <a:prstGeom prst="rect">
                      <a:avLst/>
                    </a:prstGeom>
                    <a:ln/>
                  </pic:spPr>
                </pic:pic>
              </a:graphicData>
            </a:graphic>
          </wp:inline>
        </w:drawing>
      </w:r>
      <w:r w:rsidR="00ED1C96" w:rsidRPr="00ED1C96">
        <w:rPr>
          <w:noProof/>
        </w:rPr>
        <w:drawing>
          <wp:inline distT="0" distB="0" distL="0" distR="0" wp14:anchorId="54684A56" wp14:editId="3FF8B0D7">
            <wp:extent cx="8915400" cy="10001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941118" cy="1003010"/>
                    </a:xfrm>
                    <a:prstGeom prst="rect">
                      <a:avLst/>
                    </a:prstGeom>
                    <a:noFill/>
                    <a:ln>
                      <a:noFill/>
                    </a:ln>
                  </pic:spPr>
                </pic:pic>
              </a:graphicData>
            </a:graphic>
          </wp:inline>
        </w:drawing>
      </w:r>
    </w:p>
    <w:p w:rsidR="009B74E5" w:rsidRDefault="0033196E">
      <w:pPr>
        <w:jc w:val="both"/>
        <w:rPr>
          <w:b/>
        </w:rPr>
      </w:pPr>
      <w:r>
        <w:rPr>
          <w:b/>
          <w:i/>
        </w:rPr>
        <w:t>Result:</w:t>
      </w:r>
      <w:r>
        <w:t xml:space="preserve"> Site performs satisfactorily in the Sustainability Analysis. The site is</w:t>
      </w:r>
      <w:r>
        <w:rPr>
          <w:b/>
        </w:rPr>
        <w:t xml:space="preserve"> </w:t>
      </w:r>
      <w:r>
        <w:t xml:space="preserve">deemed sustainable in order to enter the </w:t>
      </w:r>
      <w:r>
        <w:rPr>
          <w:b/>
        </w:rPr>
        <w:t>Pool of Sites</w:t>
      </w:r>
      <w:r>
        <w:t xml:space="preserve"> (with mitigation measures and recommendations). The site is a candidate for the Preferred Sites list for High Bentham, subject to Stage 2 analysis below, and also a possible comparison of the site’s merits with other sustainable sites in High Bentham if a surplus of sites exists. </w:t>
      </w:r>
    </w:p>
    <w:p w:rsidR="009B74E5" w:rsidRDefault="0033196E">
      <w:pPr>
        <w:rPr>
          <w:b/>
          <w:sz w:val="24"/>
          <w:szCs w:val="24"/>
          <w:u w:val="single"/>
        </w:rPr>
      </w:pPr>
      <w:r>
        <w:rPr>
          <w:b/>
          <w:sz w:val="24"/>
          <w:szCs w:val="24"/>
          <w:u w:val="single"/>
        </w:rPr>
        <w:t>Stage 2: District Level Analysis</w:t>
      </w:r>
    </w:p>
    <w:p w:rsidR="009B74E5" w:rsidRDefault="0033196E">
      <w:pPr>
        <w:numPr>
          <w:ilvl w:val="0"/>
          <w:numId w:val="3"/>
        </w:numPr>
        <w:ind w:hanging="720"/>
        <w:contextualSpacing/>
      </w:pPr>
      <w:r>
        <w:t>Viability of Affordable Housing Provision</w:t>
      </w:r>
    </w:p>
    <w:tbl>
      <w:tblPr>
        <w:tblStyle w:val="a"/>
        <w:tblW w:w="1428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008"/>
        <w:gridCol w:w="1275"/>
      </w:tblGrid>
      <w:tr w:rsidR="009B74E5">
        <w:tc>
          <w:tcPr>
            <w:tcW w:w="13008" w:type="dxa"/>
          </w:tcPr>
          <w:p w:rsidR="009B74E5" w:rsidRDefault="0033196E">
            <w:pPr>
              <w:numPr>
                <w:ilvl w:val="0"/>
                <w:numId w:val="5"/>
              </w:numPr>
              <w:ind w:hanging="360"/>
            </w:pPr>
            <w:r>
              <w:t>The site is likely to deliver 11 or more dwellings (irrespective of being in a designated rural area or not). Affordable housing on site is obtained.</w:t>
            </w:r>
          </w:p>
        </w:tc>
        <w:tc>
          <w:tcPr>
            <w:tcW w:w="1275" w:type="dxa"/>
          </w:tcPr>
          <w:p w:rsidR="009B74E5" w:rsidRDefault="0033196E">
            <w:pPr>
              <w:contextualSpacing w:val="0"/>
              <w:jc w:val="center"/>
              <w:rPr>
                <w:b/>
              </w:rPr>
            </w:pPr>
            <w:r>
              <w:rPr>
                <w:b/>
              </w:rPr>
              <w:t>Yes</w:t>
            </w:r>
          </w:p>
        </w:tc>
      </w:tr>
      <w:tr w:rsidR="009B74E5">
        <w:tc>
          <w:tcPr>
            <w:tcW w:w="13008" w:type="dxa"/>
          </w:tcPr>
          <w:p w:rsidR="009B74E5" w:rsidRDefault="0033196E">
            <w:pPr>
              <w:numPr>
                <w:ilvl w:val="0"/>
                <w:numId w:val="5"/>
              </w:numPr>
              <w:ind w:hanging="360"/>
            </w:pPr>
            <w:r>
              <w:t>The site is in a designated rural area, and is likely to deliver 6 or more dwellings. A financial contribution towards affordable housing is obtained.</w:t>
            </w:r>
          </w:p>
        </w:tc>
        <w:tc>
          <w:tcPr>
            <w:tcW w:w="1275" w:type="dxa"/>
          </w:tcPr>
          <w:p w:rsidR="009B74E5" w:rsidRDefault="009B74E5">
            <w:pPr>
              <w:contextualSpacing w:val="0"/>
              <w:jc w:val="center"/>
              <w:rPr>
                <w:b/>
              </w:rPr>
            </w:pPr>
          </w:p>
        </w:tc>
      </w:tr>
      <w:tr w:rsidR="009B74E5">
        <w:tc>
          <w:tcPr>
            <w:tcW w:w="13008" w:type="dxa"/>
          </w:tcPr>
          <w:p w:rsidR="009B74E5" w:rsidRDefault="0033196E">
            <w:pPr>
              <w:numPr>
                <w:ilvl w:val="0"/>
                <w:numId w:val="5"/>
              </w:numPr>
              <w:ind w:hanging="360"/>
            </w:pPr>
            <w:r>
              <w:t xml:space="preserve">The site is unlikely to deliver affordable housing (either less than 11 dwellings is likely and the site is not in a designated rural area, or </w:t>
            </w:r>
            <w:r>
              <w:lastRenderedPageBreak/>
              <w:t xml:space="preserve">less than six dwellings is likely in a designated rural area). </w:t>
            </w:r>
          </w:p>
        </w:tc>
        <w:tc>
          <w:tcPr>
            <w:tcW w:w="1275" w:type="dxa"/>
          </w:tcPr>
          <w:p w:rsidR="009B74E5" w:rsidRDefault="009B74E5">
            <w:pPr>
              <w:contextualSpacing w:val="0"/>
              <w:jc w:val="center"/>
              <w:rPr>
                <w:b/>
              </w:rPr>
            </w:pPr>
          </w:p>
        </w:tc>
      </w:tr>
    </w:tbl>
    <w:p w:rsidR="009B74E5" w:rsidRDefault="009B74E5"/>
    <w:p w:rsidR="009B74E5" w:rsidRDefault="0033196E">
      <w:pPr>
        <w:numPr>
          <w:ilvl w:val="0"/>
          <w:numId w:val="3"/>
        </w:numPr>
        <w:ind w:hanging="720"/>
        <w:contextualSpacing/>
      </w:pPr>
      <w:r>
        <w:t>Site Proximity to Designated Landscape Features</w:t>
      </w:r>
    </w:p>
    <w:tbl>
      <w:tblPr>
        <w:tblStyle w:val="a0"/>
        <w:tblW w:w="1442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008"/>
        <w:gridCol w:w="1417"/>
      </w:tblGrid>
      <w:tr w:rsidR="009B74E5">
        <w:tc>
          <w:tcPr>
            <w:tcW w:w="13008" w:type="dxa"/>
          </w:tcPr>
          <w:p w:rsidR="009B74E5" w:rsidRDefault="0033196E">
            <w:pPr>
              <w:numPr>
                <w:ilvl w:val="0"/>
                <w:numId w:val="1"/>
              </w:numPr>
              <w:ind w:hanging="360"/>
              <w:jc w:val="both"/>
            </w:pPr>
            <w:r>
              <w:t xml:space="preserve">Site is likely to have potential to harm the special qualities of the designated landscapes of the YDNP or the AONB, and any harm cannot be </w:t>
            </w:r>
            <w:proofErr w:type="gramStart"/>
            <w:r>
              <w:t>mitigated</w:t>
            </w:r>
            <w:proofErr w:type="gramEnd"/>
            <w:r>
              <w:t xml:space="preserve"> against.</w:t>
            </w:r>
          </w:p>
          <w:p w:rsidR="009B74E5" w:rsidRDefault="009B74E5">
            <w:pPr>
              <w:contextualSpacing w:val="0"/>
            </w:pPr>
          </w:p>
        </w:tc>
        <w:tc>
          <w:tcPr>
            <w:tcW w:w="1417" w:type="dxa"/>
          </w:tcPr>
          <w:p w:rsidR="009B74E5" w:rsidRDefault="0033196E">
            <w:pPr>
              <w:contextualSpacing w:val="0"/>
              <w:jc w:val="center"/>
              <w:rPr>
                <w:b/>
              </w:rPr>
            </w:pPr>
            <w:r>
              <w:rPr>
                <w:b/>
              </w:rPr>
              <w:t>No</w:t>
            </w:r>
          </w:p>
        </w:tc>
      </w:tr>
      <w:tr w:rsidR="009B74E5">
        <w:tc>
          <w:tcPr>
            <w:tcW w:w="13008" w:type="dxa"/>
          </w:tcPr>
          <w:p w:rsidR="009B74E5" w:rsidRDefault="0033196E">
            <w:pPr>
              <w:numPr>
                <w:ilvl w:val="0"/>
                <w:numId w:val="1"/>
              </w:numPr>
              <w:ind w:hanging="360"/>
            </w:pPr>
            <w:r>
              <w:t>The location of the site in the context of the settlement (i.e. north-west, central, south-east, etc.; this gives an indication of relative proximity to YDNP or AONB, whichever is the nearest).</w:t>
            </w:r>
          </w:p>
        </w:tc>
        <w:tc>
          <w:tcPr>
            <w:tcW w:w="1417" w:type="dxa"/>
          </w:tcPr>
          <w:p w:rsidR="009B74E5" w:rsidRDefault="0033196E">
            <w:pPr>
              <w:contextualSpacing w:val="0"/>
              <w:jc w:val="center"/>
              <w:rPr>
                <w:b/>
              </w:rPr>
            </w:pPr>
            <w:r>
              <w:rPr>
                <w:b/>
              </w:rPr>
              <w:t>North</w:t>
            </w:r>
          </w:p>
        </w:tc>
      </w:tr>
    </w:tbl>
    <w:p w:rsidR="009B74E5" w:rsidRDefault="009B74E5">
      <w:pPr>
        <w:spacing w:after="0"/>
        <w:ind w:left="720"/>
      </w:pPr>
    </w:p>
    <w:p w:rsidR="009B74E5" w:rsidRDefault="009B74E5">
      <w:pPr>
        <w:spacing w:after="0"/>
        <w:ind w:left="720"/>
      </w:pPr>
    </w:p>
    <w:p w:rsidR="009B74E5" w:rsidRDefault="0033196E">
      <w:pPr>
        <w:numPr>
          <w:ilvl w:val="0"/>
          <w:numId w:val="3"/>
        </w:numPr>
        <w:spacing w:after="0"/>
        <w:ind w:left="720" w:hanging="360"/>
        <w:contextualSpacing/>
      </w:pPr>
      <w:r>
        <w:t>Site Proximity to Designated Natural Environment Features</w:t>
      </w:r>
    </w:p>
    <w:p w:rsidR="009B74E5" w:rsidRDefault="009B74E5">
      <w:pPr>
        <w:ind w:left="720"/>
        <w:rPr>
          <w:b/>
        </w:rPr>
      </w:pPr>
    </w:p>
    <w:tbl>
      <w:tblPr>
        <w:tblStyle w:val="a1"/>
        <w:tblW w:w="1442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008"/>
        <w:gridCol w:w="1417"/>
      </w:tblGrid>
      <w:tr w:rsidR="009B74E5">
        <w:tc>
          <w:tcPr>
            <w:tcW w:w="13008" w:type="dxa"/>
          </w:tcPr>
          <w:p w:rsidR="009B74E5" w:rsidRDefault="0033196E">
            <w:pPr>
              <w:numPr>
                <w:ilvl w:val="0"/>
                <w:numId w:val="2"/>
              </w:numPr>
              <w:ind w:hanging="360"/>
              <w:jc w:val="both"/>
            </w:pPr>
            <w:r>
              <w:t xml:space="preserve">Site is likely to have potential to harm the special qualities of the designated landscapes of the SPA, SAC or </w:t>
            </w:r>
            <w:proofErr w:type="spellStart"/>
            <w:r>
              <w:t>Ramsar</w:t>
            </w:r>
            <w:proofErr w:type="spellEnd"/>
            <w:r>
              <w:t xml:space="preserve">, and any harm cannot be </w:t>
            </w:r>
            <w:proofErr w:type="gramStart"/>
            <w:r>
              <w:t>mitigated</w:t>
            </w:r>
            <w:proofErr w:type="gramEnd"/>
            <w:r>
              <w:t xml:space="preserve"> against.</w:t>
            </w:r>
          </w:p>
          <w:p w:rsidR="009B74E5" w:rsidRDefault="009B74E5">
            <w:pPr>
              <w:contextualSpacing w:val="0"/>
            </w:pPr>
          </w:p>
        </w:tc>
        <w:tc>
          <w:tcPr>
            <w:tcW w:w="1417" w:type="dxa"/>
          </w:tcPr>
          <w:p w:rsidR="009B74E5" w:rsidRDefault="0033196E">
            <w:pPr>
              <w:contextualSpacing w:val="0"/>
              <w:jc w:val="center"/>
              <w:rPr>
                <w:b/>
              </w:rPr>
            </w:pPr>
            <w:r>
              <w:rPr>
                <w:b/>
              </w:rPr>
              <w:t>No</w:t>
            </w:r>
          </w:p>
        </w:tc>
      </w:tr>
      <w:tr w:rsidR="009B74E5">
        <w:tc>
          <w:tcPr>
            <w:tcW w:w="13008" w:type="dxa"/>
          </w:tcPr>
          <w:p w:rsidR="009B74E5" w:rsidRDefault="0033196E">
            <w:pPr>
              <w:numPr>
                <w:ilvl w:val="0"/>
                <w:numId w:val="2"/>
              </w:numPr>
              <w:ind w:hanging="360"/>
            </w:pPr>
            <w:r>
              <w:t xml:space="preserve">The location of the site in the context of the settlement (i.e. north-west, central, south-east, etc.; this gives an indication of relative proximity to a SPA, SAC or </w:t>
            </w:r>
            <w:proofErr w:type="spellStart"/>
            <w:r>
              <w:t>Ramsar</w:t>
            </w:r>
            <w:proofErr w:type="spellEnd"/>
            <w:r>
              <w:t>, whichever is the nearest).</w:t>
            </w:r>
          </w:p>
        </w:tc>
        <w:tc>
          <w:tcPr>
            <w:tcW w:w="1417" w:type="dxa"/>
          </w:tcPr>
          <w:p w:rsidR="009B74E5" w:rsidRDefault="0033196E">
            <w:pPr>
              <w:contextualSpacing w:val="0"/>
              <w:jc w:val="center"/>
              <w:rPr>
                <w:b/>
              </w:rPr>
            </w:pPr>
            <w:r>
              <w:rPr>
                <w:b/>
              </w:rPr>
              <w:t>North</w:t>
            </w:r>
          </w:p>
        </w:tc>
      </w:tr>
    </w:tbl>
    <w:p w:rsidR="009B74E5" w:rsidRDefault="009B74E5"/>
    <w:p w:rsidR="009B74E5" w:rsidRDefault="0033196E">
      <w:pPr>
        <w:numPr>
          <w:ilvl w:val="0"/>
          <w:numId w:val="3"/>
        </w:numPr>
        <w:spacing w:after="0"/>
        <w:ind w:left="720" w:hanging="360"/>
        <w:contextualSpacing/>
      </w:pPr>
      <w:r>
        <w:t>Site Position in relation to Health &amp; Safety Executive (HSE) Zone</w:t>
      </w:r>
    </w:p>
    <w:p w:rsidR="009B74E5" w:rsidRDefault="009B74E5">
      <w:pPr>
        <w:ind w:left="720"/>
        <w:rPr>
          <w:b/>
        </w:rPr>
      </w:pPr>
    </w:p>
    <w:tbl>
      <w:tblPr>
        <w:tblStyle w:val="a2"/>
        <w:tblW w:w="1442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008"/>
        <w:gridCol w:w="1417"/>
      </w:tblGrid>
      <w:tr w:rsidR="009B74E5">
        <w:tc>
          <w:tcPr>
            <w:tcW w:w="13008" w:type="dxa"/>
          </w:tcPr>
          <w:p w:rsidR="009B74E5" w:rsidRDefault="0033196E">
            <w:pPr>
              <w:numPr>
                <w:ilvl w:val="0"/>
                <w:numId w:val="4"/>
              </w:numPr>
              <w:ind w:hanging="360"/>
            </w:pPr>
            <w:r>
              <w:t>The site lies in the outer Health &amp; Safety Executive zone, or not in an HSE zone.</w:t>
            </w:r>
          </w:p>
        </w:tc>
        <w:tc>
          <w:tcPr>
            <w:tcW w:w="1417" w:type="dxa"/>
          </w:tcPr>
          <w:p w:rsidR="009B74E5" w:rsidRDefault="0033196E">
            <w:pPr>
              <w:contextualSpacing w:val="0"/>
              <w:jc w:val="center"/>
              <w:rPr>
                <w:b/>
              </w:rPr>
            </w:pPr>
            <w:r>
              <w:rPr>
                <w:b/>
              </w:rPr>
              <w:t>Yes</w:t>
            </w:r>
          </w:p>
        </w:tc>
      </w:tr>
      <w:tr w:rsidR="009B74E5">
        <w:tc>
          <w:tcPr>
            <w:tcW w:w="13008" w:type="dxa"/>
          </w:tcPr>
          <w:p w:rsidR="009B74E5" w:rsidRDefault="0033196E">
            <w:pPr>
              <w:numPr>
                <w:ilvl w:val="0"/>
                <w:numId w:val="4"/>
              </w:numPr>
              <w:ind w:hanging="360"/>
            </w:pPr>
            <w:r>
              <w:t>The site lies in the Health &amp; Safety Executive middle zone.</w:t>
            </w:r>
          </w:p>
        </w:tc>
        <w:tc>
          <w:tcPr>
            <w:tcW w:w="1417" w:type="dxa"/>
          </w:tcPr>
          <w:p w:rsidR="009B74E5" w:rsidRDefault="009B74E5">
            <w:pPr>
              <w:contextualSpacing w:val="0"/>
              <w:jc w:val="center"/>
            </w:pPr>
          </w:p>
        </w:tc>
      </w:tr>
      <w:tr w:rsidR="009B74E5">
        <w:tc>
          <w:tcPr>
            <w:tcW w:w="13008" w:type="dxa"/>
          </w:tcPr>
          <w:p w:rsidR="009B74E5" w:rsidRDefault="0033196E">
            <w:pPr>
              <w:numPr>
                <w:ilvl w:val="0"/>
                <w:numId w:val="4"/>
              </w:numPr>
              <w:ind w:hanging="360"/>
            </w:pPr>
            <w:r>
              <w:t>The site lies in the Health &amp; Safety Executive inner zone.</w:t>
            </w:r>
          </w:p>
        </w:tc>
        <w:tc>
          <w:tcPr>
            <w:tcW w:w="1417" w:type="dxa"/>
          </w:tcPr>
          <w:p w:rsidR="009B74E5" w:rsidRDefault="009B74E5">
            <w:pPr>
              <w:contextualSpacing w:val="0"/>
              <w:jc w:val="center"/>
            </w:pPr>
          </w:p>
        </w:tc>
      </w:tr>
    </w:tbl>
    <w:p w:rsidR="009B74E5" w:rsidRDefault="009B74E5"/>
    <w:p w:rsidR="009B74E5" w:rsidRDefault="0033196E">
      <w:pPr>
        <w:jc w:val="both"/>
      </w:pPr>
      <w:r>
        <w:rPr>
          <w:b/>
          <w:i/>
        </w:rPr>
        <w:t>Result:</w:t>
      </w:r>
      <w:r>
        <w:rPr>
          <w:b/>
        </w:rPr>
        <w:t xml:space="preserve"> </w:t>
      </w:r>
      <w:r>
        <w:t xml:space="preserve">The site passes all four District Level Analyses. After a comparison with other Pool of Site options in High Bentham, the site is considered suitable as </w:t>
      </w:r>
      <w:r>
        <w:lastRenderedPageBreak/>
        <w:t xml:space="preserve">one of the </w:t>
      </w:r>
      <w:r>
        <w:rPr>
          <w:b/>
        </w:rPr>
        <w:t>Preferred Sites</w:t>
      </w:r>
      <w:r>
        <w:t xml:space="preserve"> in this settlement. [If a Preferred Site after comparison, explain in the narrative below, and if not a Preferred Site after comparison, explain comparative reasons here in the context of the settlement’s chosen Preferred Sites]</w:t>
      </w:r>
    </w:p>
    <w:p w:rsidR="009B74E5" w:rsidRDefault="0033196E">
      <w:pPr>
        <w:rPr>
          <w:b/>
          <w:sz w:val="24"/>
          <w:szCs w:val="24"/>
          <w:u w:val="single"/>
        </w:rPr>
      </w:pPr>
      <w:r>
        <w:rPr>
          <w:b/>
          <w:sz w:val="24"/>
          <w:szCs w:val="24"/>
          <w:u w:val="single"/>
        </w:rPr>
        <w:t xml:space="preserve">Narrative of Site Analysis </w:t>
      </w:r>
    </w:p>
    <w:p w:rsidR="009B74E5" w:rsidRDefault="0033196E">
      <w:r>
        <w:t xml:space="preserve">HB052 returns a mixture of positive, negative and neutral results in the analysis. Advantages of the site include safe road access and nil impact on heritage assets. Overall flood risk is low, but parts of the site are at risk from surface water. The site is large and located on the edge of the settlement, where development may have a greater impact on the wider landscape and where town centre services and facilities are more distant. Land within the site is also of greater agricultural value (grade 3). It is not necessary for development to spread northwards and westwards, across the site’s full extent, in order to meet local housing requirements and omission of those areas from any allocation would provide significant mitigation against the site’s drawbacks. Further mitigation should be possible on the remaining area through good design, layout, landscaping and </w:t>
      </w:r>
      <w:proofErr w:type="spellStart"/>
      <w:r>
        <w:t>SuDS</w:t>
      </w:r>
      <w:proofErr w:type="spellEnd"/>
      <w:r>
        <w:t>. Two public footpaths cross the site. These could form a framework for the design of substantial on-site public open space, which would</w:t>
      </w:r>
      <w:r w:rsidR="002E204C">
        <w:t xml:space="preserve"> mitigate landscape impact, </w:t>
      </w:r>
      <w:r>
        <w:t>provide enhanced green infrastructure and biodiversity, a connection to the open countryside and well-being benefits.</w:t>
      </w:r>
      <w:r w:rsidR="009367A6">
        <w:t xml:space="preserve"> </w:t>
      </w:r>
      <w:r w:rsidR="009367A6" w:rsidRPr="009367A6">
        <w:t>This site and adjoining preferred sites HB0</w:t>
      </w:r>
      <w:r w:rsidR="009367A6">
        <w:t>44</w:t>
      </w:r>
      <w:r w:rsidR="009367A6" w:rsidRPr="009367A6">
        <w:t xml:space="preserve"> and HB024 provide an opportunity to secure additional benefits by linking on-site green infrastructure.</w:t>
      </w:r>
    </w:p>
    <w:p w:rsidR="009B74E5" w:rsidRDefault="00317773">
      <w:pPr>
        <w:rPr>
          <w:b/>
        </w:rPr>
      </w:pPr>
      <w:r w:rsidRPr="00317773">
        <w:rPr>
          <w:b/>
          <w:i/>
        </w:rPr>
        <w:t xml:space="preserve">Approx. </w:t>
      </w:r>
      <w:r w:rsidR="0033196E">
        <w:rPr>
          <w:b/>
          <w:i/>
        </w:rPr>
        <w:t>Area:</w:t>
      </w:r>
      <w:r w:rsidR="0033196E">
        <w:rPr>
          <w:b/>
        </w:rPr>
        <w:t xml:space="preserve"> </w:t>
      </w:r>
      <w:r w:rsidR="0033196E">
        <w:t>5.</w:t>
      </w:r>
      <w:r>
        <w:t>7</w:t>
      </w:r>
      <w:r w:rsidR="0033196E">
        <w:t xml:space="preserve"> hectares, including </w:t>
      </w:r>
      <w:r>
        <w:t xml:space="preserve">approx. </w:t>
      </w:r>
      <w:r w:rsidR="0033196E">
        <w:t xml:space="preserve">2.0 hectares of </w:t>
      </w:r>
      <w:r>
        <w:t>additional green infrastructure</w:t>
      </w:r>
    </w:p>
    <w:p w:rsidR="009B74E5" w:rsidRDefault="00317773">
      <w:pPr>
        <w:rPr>
          <w:b/>
        </w:rPr>
      </w:pPr>
      <w:r>
        <w:rPr>
          <w:b/>
          <w:i/>
        </w:rPr>
        <w:t xml:space="preserve">Approx. </w:t>
      </w:r>
      <w:r w:rsidR="0033196E">
        <w:rPr>
          <w:b/>
          <w:i/>
        </w:rPr>
        <w:t>Number of Dwellings:</w:t>
      </w:r>
      <w:r w:rsidR="0033196E">
        <w:rPr>
          <w:b/>
        </w:rPr>
        <w:t xml:space="preserve"> </w:t>
      </w:r>
      <w:r>
        <w:t>118</w:t>
      </w:r>
    </w:p>
    <w:p w:rsidR="00317773" w:rsidRDefault="0033196E" w:rsidP="00317773">
      <w:pPr>
        <w:spacing w:after="120"/>
        <w:rPr>
          <w:b/>
          <w:i/>
        </w:rPr>
      </w:pPr>
      <w:r w:rsidRPr="0002401C">
        <w:rPr>
          <w:b/>
          <w:i/>
        </w:rPr>
        <w:t xml:space="preserve">Development Principles: </w:t>
      </w:r>
    </w:p>
    <w:p w:rsidR="00DC00B3" w:rsidRPr="00DC00B3" w:rsidRDefault="00DC00B3" w:rsidP="00DC00B3">
      <w:pPr>
        <w:pStyle w:val="ListParagraph"/>
        <w:numPr>
          <w:ilvl w:val="0"/>
          <w:numId w:val="8"/>
        </w:numPr>
        <w:ind w:left="318" w:hanging="284"/>
        <w:rPr>
          <w:rFonts w:cstheme="minorHAnsi"/>
          <w:b/>
        </w:rPr>
      </w:pPr>
      <w:r w:rsidRPr="00DC00B3">
        <w:rPr>
          <w:rFonts w:cstheme="minorHAnsi"/>
        </w:rPr>
        <w:t xml:space="preserve">Development will provide access to the adjoining allocated sites HB024 and HB044, unless access can be taken from </w:t>
      </w:r>
      <w:proofErr w:type="spellStart"/>
      <w:r w:rsidRPr="00DC00B3">
        <w:rPr>
          <w:rFonts w:cstheme="minorHAnsi"/>
        </w:rPr>
        <w:t>Lakeber</w:t>
      </w:r>
      <w:proofErr w:type="spellEnd"/>
      <w:r w:rsidRPr="00DC00B3">
        <w:rPr>
          <w:rFonts w:cstheme="minorHAnsi"/>
        </w:rPr>
        <w:t xml:space="preserve"> Drive and </w:t>
      </w:r>
      <w:proofErr w:type="spellStart"/>
      <w:r w:rsidRPr="00DC00B3">
        <w:rPr>
          <w:rFonts w:cstheme="minorHAnsi"/>
        </w:rPr>
        <w:t>Barghs</w:t>
      </w:r>
      <w:proofErr w:type="spellEnd"/>
      <w:r w:rsidRPr="00DC00B3">
        <w:rPr>
          <w:rFonts w:cstheme="minorHAnsi"/>
        </w:rPr>
        <w:t xml:space="preserve"> Meadow respectively</w:t>
      </w:r>
      <w:r w:rsidRPr="00DC00B3">
        <w:rPr>
          <w:rFonts w:cstheme="minorHAnsi"/>
        </w:rPr>
        <w:t>;</w:t>
      </w:r>
    </w:p>
    <w:p w:rsidR="00DC00B3" w:rsidRPr="00DC00B3" w:rsidRDefault="00DC00B3" w:rsidP="00DC00B3">
      <w:pPr>
        <w:pStyle w:val="ListParagraph"/>
        <w:rPr>
          <w:rFonts w:cstheme="minorHAnsi"/>
          <w:b/>
        </w:rPr>
      </w:pPr>
    </w:p>
    <w:p w:rsidR="00DC00B3" w:rsidRPr="00DC00B3" w:rsidRDefault="00DC00B3" w:rsidP="00DC00B3">
      <w:pPr>
        <w:pStyle w:val="ListParagraph"/>
        <w:numPr>
          <w:ilvl w:val="0"/>
          <w:numId w:val="8"/>
        </w:numPr>
        <w:ind w:left="318" w:hanging="284"/>
        <w:rPr>
          <w:rFonts w:cstheme="minorHAnsi"/>
          <w:b/>
        </w:rPr>
      </w:pPr>
      <w:r w:rsidRPr="00DC00B3">
        <w:rPr>
          <w:rFonts w:cstheme="minorHAnsi"/>
        </w:rPr>
        <w:t>Public rights of way thr</w:t>
      </w:r>
      <w:r w:rsidRPr="00DC00B3">
        <w:rPr>
          <w:rFonts w:cstheme="minorHAnsi"/>
        </w:rPr>
        <w:t>ough the site will be protected;</w:t>
      </w:r>
    </w:p>
    <w:p w:rsidR="00DC00B3" w:rsidRPr="00DC00B3" w:rsidRDefault="00DC00B3" w:rsidP="00DC00B3">
      <w:pPr>
        <w:pStyle w:val="ListParagraph"/>
        <w:rPr>
          <w:rFonts w:cstheme="minorHAnsi"/>
          <w:b/>
        </w:rPr>
      </w:pPr>
    </w:p>
    <w:p w:rsidR="00DC00B3" w:rsidRPr="00DC00B3" w:rsidRDefault="00DC00B3" w:rsidP="00DC00B3">
      <w:pPr>
        <w:pStyle w:val="ListParagraph"/>
        <w:numPr>
          <w:ilvl w:val="0"/>
          <w:numId w:val="8"/>
        </w:numPr>
        <w:ind w:left="318" w:hanging="284"/>
        <w:rPr>
          <w:rFonts w:cstheme="minorHAnsi"/>
          <w:b/>
        </w:rPr>
      </w:pPr>
      <w:r w:rsidRPr="00DC00B3">
        <w:rPr>
          <w:rFonts w:cstheme="minorHAnsi"/>
        </w:rPr>
        <w:t xml:space="preserve">Development of the site will contribute to the improvement and growth of green infrastructure and to achieving net gains in biodiversity. Substantial areas of additional on-site public green space, totalling approximately 2 ha, will be provided in order to mitigate landscape impact, enhance local green infrastructure, achieve a net gain in biodiversity, provide a connection to the open countryside and secure well-being benefits. The areas of green </w:t>
      </w:r>
      <w:r w:rsidRPr="00DC00B3">
        <w:rPr>
          <w:rFonts w:cstheme="minorHAnsi"/>
        </w:rPr>
        <w:lastRenderedPageBreak/>
        <w:t xml:space="preserve">infrastructure will also deliver recreational walking opportunities aimed at relieving pressure on the </w:t>
      </w:r>
      <w:proofErr w:type="spellStart"/>
      <w:r w:rsidRPr="00DC00B3">
        <w:rPr>
          <w:rFonts w:cstheme="minorHAnsi"/>
        </w:rPr>
        <w:t>Ingleborough</w:t>
      </w:r>
      <w:proofErr w:type="spellEnd"/>
      <w:r w:rsidRPr="00DC00B3">
        <w:rPr>
          <w:rFonts w:cstheme="minorHAnsi"/>
        </w:rPr>
        <w:t xml:space="preserve"> Complex Special Area of Conservation (SAC) and </w:t>
      </w:r>
      <w:proofErr w:type="spellStart"/>
      <w:r w:rsidRPr="00DC00B3">
        <w:rPr>
          <w:rFonts w:cstheme="minorHAnsi"/>
        </w:rPr>
        <w:t>Bowland</w:t>
      </w:r>
      <w:proofErr w:type="spellEnd"/>
      <w:r w:rsidRPr="00DC00B3">
        <w:rPr>
          <w:rFonts w:cstheme="minorHAnsi"/>
        </w:rPr>
        <w:t xml:space="preserve"> Fells Special Protection Area (SPA). Such green space will be designed to take account of existing public rights of way that cross the site and to maintain a natural or semi-natural setting to those public rights of way. Development of this site and adjoining allocated sites HB024 and HB044 will take the opportunity to secure additional benefits by creating green infrastructure </w:t>
      </w:r>
      <w:r w:rsidRPr="00DC00B3">
        <w:rPr>
          <w:rFonts w:cstheme="minorHAnsi"/>
        </w:rPr>
        <w:t>linkages across all three sites;</w:t>
      </w:r>
    </w:p>
    <w:p w:rsidR="00DC00B3" w:rsidRPr="00DC00B3" w:rsidRDefault="00DC00B3" w:rsidP="00DC00B3">
      <w:pPr>
        <w:pStyle w:val="ListParagraph"/>
        <w:rPr>
          <w:rFonts w:cstheme="minorHAnsi"/>
          <w:b/>
        </w:rPr>
      </w:pPr>
    </w:p>
    <w:p w:rsidR="00DC00B3" w:rsidRPr="00DC00B3" w:rsidRDefault="00DC00B3" w:rsidP="00DC00B3">
      <w:pPr>
        <w:pStyle w:val="ListParagraph"/>
        <w:numPr>
          <w:ilvl w:val="0"/>
          <w:numId w:val="8"/>
        </w:numPr>
        <w:ind w:left="318" w:hanging="284"/>
        <w:rPr>
          <w:rFonts w:cstheme="minorHAnsi"/>
          <w:b/>
        </w:rPr>
      </w:pPr>
      <w:r w:rsidRPr="00DC00B3">
        <w:rPr>
          <w:rFonts w:cstheme="minorHAnsi"/>
        </w:rPr>
        <w:t>A surface water flood risk hazard has been identified in the western part of the site. Development proposals must therefore be supported by a Flood Risk Assessment and drainage strategy which has informed the design, layout and landscaping of the site. Proposals will incorporate Sustainable Drainage Systems (</w:t>
      </w:r>
      <w:proofErr w:type="spellStart"/>
      <w:r w:rsidRPr="00DC00B3">
        <w:rPr>
          <w:rFonts w:cstheme="minorHAnsi"/>
        </w:rPr>
        <w:t>SuDS</w:t>
      </w:r>
      <w:proofErr w:type="spellEnd"/>
      <w:r w:rsidRPr="00DC00B3">
        <w:rPr>
          <w:rFonts w:cstheme="minorHAnsi"/>
        </w:rPr>
        <w:t>), w</w:t>
      </w:r>
      <w:r w:rsidRPr="00DC00B3">
        <w:rPr>
          <w:rFonts w:cstheme="minorHAnsi"/>
        </w:rPr>
        <w:t>here possible;</w:t>
      </w:r>
      <w:bookmarkStart w:id="0" w:name="_GoBack"/>
      <w:bookmarkEnd w:id="0"/>
    </w:p>
    <w:p w:rsidR="00DC00B3" w:rsidRPr="00DC00B3" w:rsidRDefault="00DC00B3" w:rsidP="00DC00B3">
      <w:pPr>
        <w:pStyle w:val="ListParagraph"/>
        <w:rPr>
          <w:rFonts w:cstheme="minorHAnsi"/>
          <w:b/>
        </w:rPr>
      </w:pPr>
    </w:p>
    <w:p w:rsidR="00DC00B3" w:rsidRPr="00DC00B3" w:rsidRDefault="00DC00B3" w:rsidP="00DC00B3">
      <w:pPr>
        <w:pStyle w:val="ListParagraph"/>
        <w:numPr>
          <w:ilvl w:val="0"/>
          <w:numId w:val="8"/>
        </w:numPr>
        <w:ind w:left="318" w:hanging="284"/>
        <w:rPr>
          <w:rFonts w:cstheme="minorHAnsi"/>
          <w:b/>
        </w:rPr>
      </w:pPr>
      <w:r w:rsidRPr="00DC00B3">
        <w:rPr>
          <w:rFonts w:cstheme="minorHAnsi"/>
        </w:rPr>
        <w:t>The site’s size and prominent location on the town's northern periphery will be addressed in the design, layout and landscaping of the development to ensure that the character and appearance of the local area is not adversely affected and will include measures to minimise impacts on air qua</w:t>
      </w:r>
      <w:r w:rsidRPr="00DC00B3">
        <w:rPr>
          <w:rFonts w:cstheme="minorHAnsi"/>
        </w:rPr>
        <w:t>lity, noise and light pollution;</w:t>
      </w:r>
    </w:p>
    <w:p w:rsidR="00DC00B3" w:rsidRPr="00DC00B3" w:rsidRDefault="00DC00B3" w:rsidP="00DC00B3">
      <w:pPr>
        <w:pStyle w:val="ListParagraph"/>
        <w:rPr>
          <w:rFonts w:cstheme="minorHAnsi"/>
          <w:b/>
        </w:rPr>
      </w:pPr>
    </w:p>
    <w:p w:rsidR="00DC00B3" w:rsidRPr="00DC00B3" w:rsidRDefault="00DC00B3" w:rsidP="00DC00B3">
      <w:pPr>
        <w:pStyle w:val="ListParagraph"/>
        <w:numPr>
          <w:ilvl w:val="0"/>
          <w:numId w:val="8"/>
        </w:numPr>
        <w:ind w:left="318" w:hanging="284"/>
        <w:rPr>
          <w:rFonts w:cstheme="minorHAnsi"/>
          <w:b/>
        </w:rPr>
      </w:pPr>
      <w:r w:rsidRPr="00DC00B3">
        <w:rPr>
          <w:rFonts w:cstheme="minorHAnsi"/>
        </w:rPr>
        <w:t>The design of proposals shall conserve the landscape and scenic beaut</w:t>
      </w:r>
      <w:r w:rsidRPr="00DC00B3">
        <w:rPr>
          <w:rFonts w:cstheme="minorHAnsi"/>
        </w:rPr>
        <w:t xml:space="preserve">y of the Forest of </w:t>
      </w:r>
      <w:proofErr w:type="spellStart"/>
      <w:r w:rsidRPr="00DC00B3">
        <w:rPr>
          <w:rFonts w:cstheme="minorHAnsi"/>
        </w:rPr>
        <w:t>Bowland</w:t>
      </w:r>
      <w:proofErr w:type="spellEnd"/>
      <w:r w:rsidRPr="00DC00B3">
        <w:rPr>
          <w:rFonts w:cstheme="minorHAnsi"/>
        </w:rPr>
        <w:t xml:space="preserve"> AONB;</w:t>
      </w:r>
    </w:p>
    <w:p w:rsidR="00DC00B3" w:rsidRPr="00DC00B3" w:rsidRDefault="00DC00B3" w:rsidP="00DC00B3">
      <w:pPr>
        <w:pStyle w:val="ListParagraph"/>
        <w:rPr>
          <w:rFonts w:cstheme="minorHAnsi"/>
          <w:b/>
        </w:rPr>
      </w:pPr>
    </w:p>
    <w:p w:rsidR="00DC00B3" w:rsidRPr="00DC00B3" w:rsidRDefault="00DC00B3" w:rsidP="00DC00B3">
      <w:pPr>
        <w:pStyle w:val="ListParagraph"/>
        <w:numPr>
          <w:ilvl w:val="0"/>
          <w:numId w:val="8"/>
        </w:numPr>
        <w:ind w:left="318" w:hanging="284"/>
        <w:rPr>
          <w:rFonts w:cstheme="minorHAnsi"/>
          <w:b/>
        </w:rPr>
      </w:pPr>
      <w:r w:rsidRPr="00DC00B3">
        <w:rPr>
          <w:rFonts w:cstheme="minorHAnsi"/>
        </w:rPr>
        <w:t xml:space="preserve">Access to the site will be gained from Robin Lane and an emergency access will be provided from </w:t>
      </w:r>
      <w:proofErr w:type="spellStart"/>
      <w:r w:rsidRPr="00DC00B3">
        <w:rPr>
          <w:rFonts w:cstheme="minorHAnsi"/>
        </w:rPr>
        <w:t>Lakeber</w:t>
      </w:r>
      <w:proofErr w:type="spellEnd"/>
      <w:r w:rsidRPr="00DC00B3">
        <w:rPr>
          <w:rFonts w:cstheme="minorHAnsi"/>
        </w:rPr>
        <w:t xml:space="preserve"> Drive via the</w:t>
      </w:r>
      <w:r w:rsidRPr="00DC00B3">
        <w:rPr>
          <w:rFonts w:cstheme="minorHAnsi"/>
        </w:rPr>
        <w:t xml:space="preserve"> adjoining allocated site HB024;</w:t>
      </w:r>
    </w:p>
    <w:p w:rsidR="00DC00B3" w:rsidRPr="00DC00B3" w:rsidRDefault="00DC00B3" w:rsidP="00DC00B3">
      <w:pPr>
        <w:pStyle w:val="ListParagraph"/>
        <w:rPr>
          <w:rFonts w:cstheme="minorHAnsi"/>
          <w:b/>
        </w:rPr>
      </w:pPr>
    </w:p>
    <w:p w:rsidR="00DC00B3" w:rsidRPr="00DC00B3" w:rsidRDefault="00DC00B3" w:rsidP="00DC00B3">
      <w:pPr>
        <w:pStyle w:val="ListParagraph"/>
        <w:numPr>
          <w:ilvl w:val="0"/>
          <w:numId w:val="8"/>
        </w:numPr>
        <w:ind w:left="318" w:hanging="284"/>
        <w:rPr>
          <w:rFonts w:cstheme="minorHAnsi"/>
          <w:b/>
        </w:rPr>
      </w:pPr>
      <w:r w:rsidRPr="00DC00B3">
        <w:rPr>
          <w:rFonts w:cstheme="minorHAnsi"/>
        </w:rPr>
        <w:t>Development proposals for this site must accord with local plan policies H2, INF3 and INF6 (which set out requirements for contributions towards affordable housing, education provision and sport, open space and recreation facilities) and all other relevant local plan policies.</w:t>
      </w:r>
    </w:p>
    <w:p w:rsidR="00DC00B3" w:rsidRPr="00DC00B3" w:rsidRDefault="00DC00B3" w:rsidP="00317773">
      <w:pPr>
        <w:spacing w:after="120"/>
        <w:rPr>
          <w:b/>
        </w:rPr>
      </w:pPr>
    </w:p>
    <w:sectPr w:rsidR="00DC00B3" w:rsidRPr="00DC00B3">
      <w:footerReference w:type="default" r:id="rId10"/>
      <w:pgSz w:w="16838" w:h="11906"/>
      <w:pgMar w:top="1440" w:right="1440" w:bottom="1440" w:left="1440" w:header="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0E24" w:rsidRDefault="00560E24">
      <w:pPr>
        <w:spacing w:after="0" w:line="240" w:lineRule="auto"/>
      </w:pPr>
      <w:r>
        <w:separator/>
      </w:r>
    </w:p>
  </w:endnote>
  <w:endnote w:type="continuationSeparator" w:id="0">
    <w:p w:rsidR="00560E24" w:rsidRDefault="00560E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74E5" w:rsidRDefault="0033196E">
    <w:pPr>
      <w:tabs>
        <w:tab w:val="center" w:pos="4513"/>
        <w:tab w:val="right" w:pos="9026"/>
      </w:tabs>
      <w:spacing w:after="0" w:line="240" w:lineRule="auto"/>
      <w:jc w:val="center"/>
    </w:pPr>
    <w:r>
      <w:fldChar w:fldCharType="begin"/>
    </w:r>
    <w:r>
      <w:instrText>PAGE</w:instrText>
    </w:r>
    <w:r>
      <w:fldChar w:fldCharType="separate"/>
    </w:r>
    <w:r w:rsidR="00DC00B3">
      <w:rPr>
        <w:noProof/>
      </w:rPr>
      <w:t>3</w:t>
    </w:r>
    <w:r>
      <w:fldChar w:fldCharType="end"/>
    </w:r>
  </w:p>
  <w:p w:rsidR="009B74E5" w:rsidRDefault="009B74E5">
    <w:pPr>
      <w:tabs>
        <w:tab w:val="center" w:pos="4513"/>
        <w:tab w:val="right" w:pos="9026"/>
      </w:tabs>
      <w:spacing w:after="708"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0E24" w:rsidRDefault="00560E24">
      <w:pPr>
        <w:spacing w:after="0" w:line="240" w:lineRule="auto"/>
      </w:pPr>
      <w:r>
        <w:separator/>
      </w:r>
    </w:p>
  </w:footnote>
  <w:footnote w:type="continuationSeparator" w:id="0">
    <w:p w:rsidR="00560E24" w:rsidRDefault="00560E2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91324"/>
    <w:multiLevelType w:val="multilevel"/>
    <w:tmpl w:val="E910A064"/>
    <w:lvl w:ilvl="0">
      <w:start w:val="1"/>
      <w:numFmt w:val="upp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
    <w:nsid w:val="0A371E6F"/>
    <w:multiLevelType w:val="multilevel"/>
    <w:tmpl w:val="606EBF4A"/>
    <w:lvl w:ilvl="0">
      <w:start w:val="1"/>
      <w:numFmt w:val="upp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
    <w:nsid w:val="0B4F0311"/>
    <w:multiLevelType w:val="hybridMultilevel"/>
    <w:tmpl w:val="AC7EFAAC"/>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452535C"/>
    <w:multiLevelType w:val="hybridMultilevel"/>
    <w:tmpl w:val="74764818"/>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40E45F0"/>
    <w:multiLevelType w:val="multilevel"/>
    <w:tmpl w:val="728CBD96"/>
    <w:lvl w:ilvl="0">
      <w:start w:val="1"/>
      <w:numFmt w:val="upp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
    <w:nsid w:val="45157FD8"/>
    <w:multiLevelType w:val="hybridMultilevel"/>
    <w:tmpl w:val="901855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49590D18"/>
    <w:multiLevelType w:val="multilevel"/>
    <w:tmpl w:val="EFE02474"/>
    <w:lvl w:ilvl="0">
      <w:start w:val="1"/>
      <w:numFmt w:val="upp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7">
    <w:nsid w:val="511A2925"/>
    <w:multiLevelType w:val="multilevel"/>
    <w:tmpl w:val="53AA1DC4"/>
    <w:lvl w:ilvl="0">
      <w:start w:val="1"/>
      <w:numFmt w:val="upperRoman"/>
      <w:lvlText w:val="(%1)"/>
      <w:lvlJc w:val="left"/>
      <w:pPr>
        <w:ind w:left="108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num w:numId="1">
    <w:abstractNumId w:val="1"/>
  </w:num>
  <w:num w:numId="2">
    <w:abstractNumId w:val="0"/>
  </w:num>
  <w:num w:numId="3">
    <w:abstractNumId w:val="7"/>
  </w:num>
  <w:num w:numId="4">
    <w:abstractNumId w:val="4"/>
  </w:num>
  <w:num w:numId="5">
    <w:abstractNumId w:val="6"/>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9B74E5"/>
    <w:rsid w:val="00016BCE"/>
    <w:rsid w:val="0002401C"/>
    <w:rsid w:val="002E204C"/>
    <w:rsid w:val="00317773"/>
    <w:rsid w:val="0033196E"/>
    <w:rsid w:val="00560E24"/>
    <w:rsid w:val="00640479"/>
    <w:rsid w:val="009367A6"/>
    <w:rsid w:val="00942A3C"/>
    <w:rsid w:val="009B74E5"/>
    <w:rsid w:val="00C9530E"/>
    <w:rsid w:val="00DC00B3"/>
    <w:rsid w:val="00ED1C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en-GB" w:eastAsia="en-GB"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sz w:val="24"/>
      <w:szCs w:val="24"/>
    </w:rPr>
  </w:style>
  <w:style w:type="paragraph" w:styleId="Heading5">
    <w:name w:val="heading 5"/>
    <w:basedOn w:val="Normal"/>
    <w:next w:val="Normal"/>
    <w:pPr>
      <w:keepNext/>
      <w:keepLines/>
      <w:spacing w:before="220" w:after="40"/>
      <w:contextualSpacing/>
      <w:outlineLvl w:val="4"/>
    </w:pPr>
    <w:rPr>
      <w:b/>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pPr>
      <w:spacing w:after="0" w:line="240" w:lineRule="auto"/>
      <w:contextualSpacing/>
    </w:pPr>
    <w:tblPr>
      <w:tblStyleRowBandSize w:val="1"/>
      <w:tblStyleColBandSize w:val="1"/>
      <w:tblCellMar>
        <w:left w:w="115" w:type="dxa"/>
        <w:right w:w="115" w:type="dxa"/>
      </w:tblCellMar>
    </w:tblPr>
  </w:style>
  <w:style w:type="table" w:customStyle="1" w:styleId="a0">
    <w:basedOn w:val="TableNormal"/>
    <w:pPr>
      <w:spacing w:after="0" w:line="240" w:lineRule="auto"/>
      <w:contextualSpacing/>
    </w:pPr>
    <w:tblPr>
      <w:tblStyleRowBandSize w:val="1"/>
      <w:tblStyleColBandSize w:val="1"/>
      <w:tblCellMar>
        <w:left w:w="115" w:type="dxa"/>
        <w:right w:w="115" w:type="dxa"/>
      </w:tblCellMar>
    </w:tblPr>
  </w:style>
  <w:style w:type="table" w:customStyle="1" w:styleId="a1">
    <w:basedOn w:val="TableNormal"/>
    <w:pPr>
      <w:spacing w:after="0" w:line="240" w:lineRule="auto"/>
      <w:contextualSpacing/>
    </w:pPr>
    <w:tblPr>
      <w:tblStyleRowBandSize w:val="1"/>
      <w:tblStyleColBandSize w:val="1"/>
      <w:tblCellMar>
        <w:left w:w="115" w:type="dxa"/>
        <w:right w:w="115" w:type="dxa"/>
      </w:tblCellMar>
    </w:tblPr>
  </w:style>
  <w:style w:type="table" w:customStyle="1" w:styleId="a2">
    <w:basedOn w:val="TableNormal"/>
    <w:pPr>
      <w:spacing w:after="0" w:line="240" w:lineRule="auto"/>
      <w:contextualSpacing/>
    </w:p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3319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196E"/>
    <w:rPr>
      <w:rFonts w:ascii="Tahoma" w:hAnsi="Tahoma" w:cs="Tahoma"/>
      <w:sz w:val="16"/>
      <w:szCs w:val="16"/>
    </w:rPr>
  </w:style>
  <w:style w:type="paragraph" w:styleId="ListParagraph">
    <w:name w:val="List Paragraph"/>
    <w:basedOn w:val="Normal"/>
    <w:uiPriority w:val="34"/>
    <w:qFormat/>
    <w:rsid w:val="0002401C"/>
    <w:pPr>
      <w:widowControl/>
      <w:ind w:left="720"/>
      <w:contextualSpacing/>
    </w:pPr>
    <w:rPr>
      <w:rFonts w:asciiTheme="minorHAnsi" w:eastAsiaTheme="minorHAnsi" w:hAnsiTheme="minorHAnsi" w:cstheme="minorBidi"/>
      <w:color w:val="aut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color w:val="000000"/>
        <w:sz w:val="22"/>
        <w:szCs w:val="22"/>
        <w:lang w:val="en-GB" w:eastAsia="en-GB"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sz w:val="24"/>
      <w:szCs w:val="24"/>
    </w:rPr>
  </w:style>
  <w:style w:type="paragraph" w:styleId="Heading5">
    <w:name w:val="heading 5"/>
    <w:basedOn w:val="Normal"/>
    <w:next w:val="Normal"/>
    <w:pPr>
      <w:keepNext/>
      <w:keepLines/>
      <w:spacing w:before="220" w:after="40"/>
      <w:contextualSpacing/>
      <w:outlineLvl w:val="4"/>
    </w:pPr>
    <w:rPr>
      <w:b/>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pPr>
      <w:spacing w:after="0" w:line="240" w:lineRule="auto"/>
      <w:contextualSpacing/>
    </w:pPr>
    <w:tblPr>
      <w:tblStyleRowBandSize w:val="1"/>
      <w:tblStyleColBandSize w:val="1"/>
      <w:tblCellMar>
        <w:left w:w="115" w:type="dxa"/>
        <w:right w:w="115" w:type="dxa"/>
      </w:tblCellMar>
    </w:tblPr>
  </w:style>
  <w:style w:type="table" w:customStyle="1" w:styleId="a0">
    <w:basedOn w:val="TableNormal"/>
    <w:pPr>
      <w:spacing w:after="0" w:line="240" w:lineRule="auto"/>
      <w:contextualSpacing/>
    </w:pPr>
    <w:tblPr>
      <w:tblStyleRowBandSize w:val="1"/>
      <w:tblStyleColBandSize w:val="1"/>
      <w:tblCellMar>
        <w:left w:w="115" w:type="dxa"/>
        <w:right w:w="115" w:type="dxa"/>
      </w:tblCellMar>
    </w:tblPr>
  </w:style>
  <w:style w:type="table" w:customStyle="1" w:styleId="a1">
    <w:basedOn w:val="TableNormal"/>
    <w:pPr>
      <w:spacing w:after="0" w:line="240" w:lineRule="auto"/>
      <w:contextualSpacing/>
    </w:pPr>
    <w:tblPr>
      <w:tblStyleRowBandSize w:val="1"/>
      <w:tblStyleColBandSize w:val="1"/>
      <w:tblCellMar>
        <w:left w:w="115" w:type="dxa"/>
        <w:right w:w="115" w:type="dxa"/>
      </w:tblCellMar>
    </w:tblPr>
  </w:style>
  <w:style w:type="table" w:customStyle="1" w:styleId="a2">
    <w:basedOn w:val="TableNormal"/>
    <w:pPr>
      <w:spacing w:after="0" w:line="240" w:lineRule="auto"/>
      <w:contextualSpacing/>
    </w:p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3319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196E"/>
    <w:rPr>
      <w:rFonts w:ascii="Tahoma" w:hAnsi="Tahoma" w:cs="Tahoma"/>
      <w:sz w:val="16"/>
      <w:szCs w:val="16"/>
    </w:rPr>
  </w:style>
  <w:style w:type="paragraph" w:styleId="ListParagraph">
    <w:name w:val="List Paragraph"/>
    <w:basedOn w:val="Normal"/>
    <w:uiPriority w:val="34"/>
    <w:qFormat/>
    <w:rsid w:val="0002401C"/>
    <w:pPr>
      <w:widowControl/>
      <w:ind w:left="720"/>
      <w:contextualSpacing/>
    </w:pPr>
    <w:rPr>
      <w:rFonts w:asciiTheme="minorHAnsi" w:eastAsiaTheme="minorHAnsi" w:hAnsiTheme="minorHAnsi" w:cstheme="minorBidi"/>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4</Pages>
  <Words>1008</Words>
  <Characters>5752</Characters>
  <Application>Microsoft Office Word</Application>
  <DocSecurity>0</DocSecurity>
  <Lines>47</Lines>
  <Paragraphs>13</Paragraphs>
  <ScaleCrop>false</ScaleCrop>
  <Company/>
  <LinksUpToDate>false</LinksUpToDate>
  <CharactersWithSpaces>6747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David Feeney</cp:lastModifiedBy>
  <cp:revision>11</cp:revision>
  <dcterms:created xsi:type="dcterms:W3CDTF">2017-03-20T12:37:00Z</dcterms:created>
  <dcterms:modified xsi:type="dcterms:W3CDTF">2019-11-10T21:10:00Z</dcterms:modified>
</cp:coreProperties>
</file>